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89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/>
      </w:tblPr>
      <w:tblGrid>
        <w:gridCol w:w="1579"/>
        <w:gridCol w:w="2439"/>
        <w:gridCol w:w="1501"/>
        <w:gridCol w:w="2729"/>
        <w:gridCol w:w="2642"/>
      </w:tblGrid>
      <w:tr w:rsidR="007B7D2F" w:rsidTr="002729DF">
        <w:trPr>
          <w:trHeight w:val="510"/>
          <w:jc w:val="center"/>
        </w:trPr>
        <w:tc>
          <w:tcPr>
            <w:tcW w:w="10890" w:type="dxa"/>
            <w:gridSpan w:val="5"/>
            <w:tcBorders>
              <w:bottom w:val="threeDEmboss" w:sz="18" w:space="0" w:color="auto"/>
            </w:tcBorders>
            <w:shd w:val="clear" w:color="auto" w:fill="948A54" w:themeFill="background2" w:themeFillShade="80"/>
            <w:vAlign w:val="center"/>
          </w:tcPr>
          <w:p w:rsidR="007B7D2F" w:rsidRPr="002729DF" w:rsidRDefault="007B7D2F" w:rsidP="002729DF">
            <w:pPr>
              <w:jc w:val="center"/>
              <w:rPr>
                <w:rFonts w:ascii="Academy Engraved LET" w:hAnsi="Academy Engraved LET"/>
                <w:color w:val="FFFFFF" w:themeColor="background1"/>
                <w:rtl/>
                <w:lang w:val="en-US" w:bidi="ar-IQ"/>
              </w:rPr>
            </w:pPr>
            <w:r w:rsidRPr="0058381F">
              <w:rPr>
                <w:rFonts w:ascii="Academy Engraved LET" w:hAnsi="Academy Engraved LET"/>
                <w:color w:val="FFFFFF" w:themeColor="background1"/>
                <w:sz w:val="36"/>
                <w:szCs w:val="36"/>
                <w:lang w:val="en-US" w:bidi="ar-IQ"/>
              </w:rPr>
              <w:t>University of Baghdad</w:t>
            </w:r>
            <w:r w:rsidR="00602750">
              <w:rPr>
                <w:rFonts w:ascii="Academy Engraved LET" w:hAnsi="Academy Engraved LET"/>
                <w:color w:val="FFFFFF" w:themeColor="background1"/>
                <w:sz w:val="36"/>
                <w:szCs w:val="36"/>
                <w:lang w:val="en-US" w:bidi="ar-IQ"/>
              </w:rPr>
              <w:t xml:space="preserve"> </w:t>
            </w:r>
          </w:p>
        </w:tc>
      </w:tr>
      <w:tr w:rsidR="007B7D2F" w:rsidTr="00F674C3">
        <w:trPr>
          <w:trHeight w:hRule="exact" w:val="576"/>
          <w:jc w:val="center"/>
        </w:trPr>
        <w:tc>
          <w:tcPr>
            <w:tcW w:w="8248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4B03DE" w:rsidRDefault="004B03DE" w:rsidP="004B03DE">
            <w:pPr>
              <w:bidi w:val="0"/>
              <w:rPr>
                <w:b/>
                <w:bCs/>
                <w:lang w:val="en-US" w:bidi="ar-IQ"/>
              </w:rPr>
            </w:pPr>
            <w:r w:rsidRPr="004B03DE">
              <w:rPr>
                <w:b/>
                <w:bCs/>
                <w:sz w:val="26"/>
                <w:szCs w:val="26"/>
                <w:lang w:val="en-US" w:bidi="ar-IQ"/>
              </w:rPr>
              <w:t xml:space="preserve">Institute of laser for postgraduate studies 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E06014" w:rsidRDefault="007B7D2F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E06014">
              <w:rPr>
                <w:rFonts w:ascii="Tahoma" w:hAnsi="Tahoma" w:cs="Tahoma"/>
                <w:lang w:val="en-US" w:bidi="ar-IQ"/>
              </w:rPr>
              <w:t xml:space="preserve">College </w:t>
            </w:r>
            <w:r w:rsidR="007B5BB1" w:rsidRPr="00E06014">
              <w:rPr>
                <w:rFonts w:ascii="Tahoma" w:hAnsi="Tahoma" w:cs="Tahoma"/>
                <w:lang w:val="en-US" w:bidi="ar-IQ"/>
              </w:rPr>
              <w:t xml:space="preserve"> </w:t>
            </w:r>
            <w:r w:rsidRPr="00E06014">
              <w:rPr>
                <w:rFonts w:ascii="Tahoma" w:hAnsi="Tahoma" w:cs="Tahoma"/>
                <w:lang w:val="en-US" w:bidi="ar-IQ"/>
              </w:rPr>
              <w:t>Name</w:t>
            </w:r>
          </w:p>
        </w:tc>
      </w:tr>
      <w:tr w:rsidR="007B7D2F" w:rsidRPr="007B7D2F" w:rsidTr="00F674C3">
        <w:trPr>
          <w:trHeight w:hRule="exact" w:val="576"/>
          <w:jc w:val="center"/>
        </w:trPr>
        <w:tc>
          <w:tcPr>
            <w:tcW w:w="8248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9A222D" w:rsidRDefault="00002AAF" w:rsidP="00002AAF">
            <w:pPr>
              <w:jc w:val="right"/>
              <w:rPr>
                <w:b/>
                <w:bCs/>
                <w:rtl/>
                <w:lang w:bidi="ar-IQ"/>
              </w:rPr>
            </w:pPr>
            <w:r w:rsidRPr="009A222D">
              <w:rPr>
                <w:b/>
                <w:bCs/>
                <w:lang w:bidi="ar-IQ"/>
              </w:rPr>
              <w:t>BIOMEDICAL APPLICATION DEPARTMENT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E06014" w:rsidRDefault="002A343C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E06014">
              <w:rPr>
                <w:rFonts w:ascii="Tahoma" w:hAnsi="Tahoma" w:cs="Tahoma"/>
                <w:lang w:val="en-US" w:bidi="ar-IQ"/>
              </w:rPr>
              <w:t>Department</w:t>
            </w:r>
          </w:p>
        </w:tc>
      </w:tr>
      <w:tr w:rsidR="007B7D2F" w:rsidRPr="00AC791C" w:rsidTr="00F674C3">
        <w:trPr>
          <w:trHeight w:hRule="exact" w:val="813"/>
          <w:jc w:val="center"/>
        </w:trPr>
        <w:tc>
          <w:tcPr>
            <w:tcW w:w="8248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Default="004056B8" w:rsidP="004056B8">
            <w:pPr>
              <w:jc w:val="right"/>
              <w:rPr>
                <w:rtl/>
                <w:lang w:bidi="ar-IQ"/>
              </w:rPr>
            </w:pPr>
            <w:r>
              <w:rPr>
                <w:lang w:val="en-US" w:bidi="ar-IQ"/>
              </w:rPr>
              <w:t>ALI SHUKUR MAHMOOD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E06014" w:rsidRDefault="002A343C" w:rsidP="00F674C3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E06014">
              <w:rPr>
                <w:rFonts w:ascii="Tahoma" w:hAnsi="Tahoma" w:cs="Tahoma"/>
                <w:lang w:val="en-US" w:bidi="ar-IQ"/>
              </w:rPr>
              <w:t xml:space="preserve">Full Name </w:t>
            </w:r>
            <w:r w:rsidR="00F674C3">
              <w:rPr>
                <w:rFonts w:ascii="Tahoma" w:hAnsi="Tahoma" w:cs="Tahoma"/>
                <w:lang w:val="en-US" w:bidi="ar-IQ"/>
              </w:rPr>
              <w:t xml:space="preserve">as written  </w:t>
            </w:r>
            <w:r w:rsidRPr="00E06014">
              <w:rPr>
                <w:rFonts w:ascii="Tahoma" w:hAnsi="Tahoma" w:cs="Tahoma"/>
                <w:lang w:val="en-US" w:bidi="ar-IQ"/>
              </w:rPr>
              <w:t xml:space="preserve"> </w:t>
            </w:r>
            <w:r w:rsidR="00F674C3">
              <w:rPr>
                <w:rFonts w:ascii="Tahoma" w:hAnsi="Tahoma" w:cs="Tahoma"/>
                <w:lang w:val="en-US" w:bidi="ar-IQ"/>
              </w:rPr>
              <w:t>in</w:t>
            </w:r>
            <w:r w:rsidR="00F674C3" w:rsidRPr="00E06014">
              <w:rPr>
                <w:rFonts w:ascii="Tahoma" w:hAnsi="Tahoma" w:cs="Tahoma"/>
                <w:lang w:val="en-US" w:bidi="ar-IQ"/>
              </w:rPr>
              <w:t xml:space="preserve"> </w:t>
            </w:r>
            <w:r w:rsidRPr="00E06014">
              <w:rPr>
                <w:rFonts w:ascii="Tahoma" w:hAnsi="Tahoma" w:cs="Tahoma"/>
                <w:lang w:val="en-US" w:bidi="ar-IQ"/>
              </w:rPr>
              <w:t>Passport</w:t>
            </w:r>
          </w:p>
        </w:tc>
      </w:tr>
      <w:tr w:rsidR="00422F07" w:rsidRPr="00AC791C" w:rsidTr="00F674C3">
        <w:trPr>
          <w:trHeight w:hRule="exact" w:val="576"/>
          <w:jc w:val="center"/>
        </w:trPr>
        <w:tc>
          <w:tcPr>
            <w:tcW w:w="8248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22F07" w:rsidRDefault="009A222D" w:rsidP="009A222D">
            <w:pPr>
              <w:jc w:val="right"/>
              <w:rPr>
                <w:rtl/>
                <w:lang w:bidi="ar-IQ"/>
              </w:rPr>
            </w:pPr>
            <w:r>
              <w:rPr>
                <w:lang w:bidi="ar-IQ"/>
              </w:rPr>
              <w:t>alidyni@yahoo.com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22F07" w:rsidRPr="00E06014" w:rsidRDefault="009822DF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e</w:t>
            </w:r>
            <w:r w:rsidR="00422F07" w:rsidRPr="00E06014">
              <w:rPr>
                <w:rFonts w:ascii="Tahoma" w:hAnsi="Tahoma" w:cs="Tahoma"/>
                <w:lang w:val="en-US" w:bidi="ar-IQ"/>
              </w:rPr>
              <w:t>-mail</w:t>
            </w:r>
          </w:p>
        </w:tc>
      </w:tr>
      <w:tr w:rsidR="006134D4" w:rsidRPr="00667392" w:rsidTr="00F674C3">
        <w:trPr>
          <w:trHeight w:hRule="exact" w:val="561"/>
          <w:jc w:val="center"/>
        </w:trPr>
        <w:tc>
          <w:tcPr>
            <w:tcW w:w="1579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6134D4" w:rsidRPr="002A343C" w:rsidRDefault="00F6367D" w:rsidP="009C72F6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 w:rsidRPr="00F6367D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72" style="position:absolute;left:0;text-align:left;margin-left:1.5pt;margin-top:3.35pt;width:9.8pt;height:10.35pt;z-index:251655168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AC791C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bidi="ar-IQ"/>
              </w:rPr>
              <w:t xml:space="preserve"> </w:t>
            </w:r>
            <w:r w:rsidR="00AC791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  </w:t>
            </w:r>
            <w:r w:rsidR="006134D4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 w:rsidR="006134D4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val="en-US" w:bidi="ar-IQ"/>
              </w:rPr>
              <w:t xml:space="preserve"> </w:t>
            </w:r>
          </w:p>
        </w:tc>
        <w:tc>
          <w:tcPr>
            <w:tcW w:w="2439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6134D4" w:rsidRPr="00AC791C" w:rsidRDefault="00F6367D" w:rsidP="009C72F6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 w:rsidRPr="00F6367D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73" style="position:absolute;left:0;text-align:left;margin-left:-.3pt;margin-top:3.95pt;width:9.8pt;height:10.35pt;z-index:251656192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  <w10:wrap anchorx="page"/>
                </v:oval>
              </w:pict>
            </w:r>
            <w:r w:rsidR="00AC791C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bidi="ar-IQ"/>
              </w:rPr>
              <w:t xml:space="preserve"> </w:t>
            </w:r>
            <w:r w:rsidR="00AC791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  </w:t>
            </w:r>
            <w:r w:rsidR="006134D4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6134D4" w:rsidRPr="002A343C">
              <w:rPr>
                <w:rStyle w:val="shorttext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6134D4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</w:p>
        </w:tc>
        <w:tc>
          <w:tcPr>
            <w:tcW w:w="1501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6134D4" w:rsidRPr="002A343C" w:rsidRDefault="00F6367D" w:rsidP="009C72F6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F6367D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74" style="position:absolute;left:0;text-align:left;margin-left:-.3pt;margin-top:3.35pt;width:9.8pt;height:10.35pt;z-index:251657216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6134D4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bidi="ar-IQ"/>
              </w:rPr>
              <w:t xml:space="preserve"> </w:t>
            </w:r>
            <w:r w:rsidR="006134D4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  </w:t>
            </w:r>
            <w:r w:rsidR="006134D4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Lecturer</w:t>
            </w:r>
          </w:p>
        </w:tc>
        <w:tc>
          <w:tcPr>
            <w:tcW w:w="2729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6134D4" w:rsidRPr="002A343C" w:rsidRDefault="00F6367D" w:rsidP="00AC791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 w:rsidRPr="00F6367D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75" style="position:absolute;left:0;text-align:left;margin-left:3.15pt;margin-top:4.05pt;width:9.8pt;height:10.35pt;z-index:251658240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6134D4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val="en-US" w:bidi="ar-IQ"/>
              </w:rPr>
              <w:t xml:space="preserve">  </w:t>
            </w:r>
            <w:r w:rsidR="006134D4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  </w:t>
            </w:r>
            <w:r w:rsidR="006134D4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6134D4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6134D4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Lecturer </w:t>
            </w:r>
            <w:r w:rsidR="006134D4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6134D4" w:rsidRPr="00E06014" w:rsidRDefault="006134D4" w:rsidP="00655A3D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E06014">
              <w:rPr>
                <w:rFonts w:ascii="Tahoma" w:hAnsi="Tahoma" w:cs="Tahoma"/>
                <w:lang w:val="en-US" w:bidi="ar-IQ"/>
              </w:rPr>
              <w:t xml:space="preserve">Career </w:t>
            </w:r>
          </w:p>
        </w:tc>
      </w:tr>
      <w:tr w:rsidR="00667392" w:rsidRPr="007B7D2F" w:rsidTr="00F674C3">
        <w:trPr>
          <w:trHeight w:hRule="exact" w:val="453"/>
          <w:jc w:val="center"/>
        </w:trPr>
        <w:tc>
          <w:tcPr>
            <w:tcW w:w="4018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667392" w:rsidRPr="00667392" w:rsidRDefault="00F6367D" w:rsidP="00E06014">
            <w:pPr>
              <w:jc w:val="right"/>
              <w:rPr>
                <w:lang w:val="en-US" w:bidi="ar-IQ"/>
              </w:rPr>
            </w:pPr>
            <w:r w:rsidRPr="00F6367D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lang w:val="en-US"/>
              </w:rPr>
              <w:pict>
                <v:oval id="_x0000_s1070" style="position:absolute;margin-left:3.65pt;margin-top:1.65pt;width:12.05pt;height:12.6pt;z-index:251660288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667392">
              <w:rPr>
                <w:lang w:val="en-US" w:bidi="ar-IQ"/>
              </w:rPr>
              <w:t xml:space="preserve">     </w:t>
            </w:r>
            <w:r w:rsidR="00EA5234">
              <w:rPr>
                <w:lang w:val="en-US" w:bidi="ar-IQ"/>
              </w:rPr>
              <w:t xml:space="preserve">   </w:t>
            </w:r>
            <w:r w:rsidR="00667392">
              <w:rPr>
                <w:lang w:val="en-US" w:bidi="ar-IQ"/>
              </w:rPr>
              <w:t>PhD</w:t>
            </w:r>
            <w:r w:rsidR="00667392">
              <w:rPr>
                <w:rFonts w:hint="cs"/>
                <w:rtl/>
                <w:lang w:val="en-US" w:bidi="ar-IQ"/>
              </w:rPr>
              <w:t xml:space="preserve">                 </w:t>
            </w:r>
          </w:p>
        </w:tc>
        <w:tc>
          <w:tcPr>
            <w:tcW w:w="423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667392" w:rsidRPr="00667392" w:rsidRDefault="00F6367D" w:rsidP="00E06014">
            <w:pPr>
              <w:jc w:val="right"/>
              <w:rPr>
                <w:lang w:val="en-US" w:bidi="ar-IQ"/>
              </w:rPr>
            </w:pPr>
            <w:r w:rsidRPr="00F6367D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lang w:val="en-US"/>
              </w:rPr>
              <w:pict>
                <v:oval id="_x0000_s1066" style="position:absolute;margin-left:3.65pt;margin-top:1.65pt;width:15.8pt;height:12.6pt;z-index:251659264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EA5234">
              <w:rPr>
                <w:lang w:val="en-US" w:bidi="ar-IQ"/>
              </w:rPr>
              <w:t xml:space="preserve">           </w:t>
            </w:r>
            <w:r w:rsidR="00667392">
              <w:rPr>
                <w:lang w:val="en-US" w:bidi="ar-IQ"/>
              </w:rPr>
              <w:t xml:space="preserve">Master         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667392" w:rsidRPr="00E06014" w:rsidRDefault="00667392" w:rsidP="00A47634">
            <w:pPr>
              <w:jc w:val="right"/>
              <w:rPr>
                <w:rFonts w:ascii="Tahoma" w:hAnsi="Tahoma" w:cs="Tahoma"/>
                <w:lang w:val="en-US" w:bidi="ar-IQ"/>
              </w:rPr>
            </w:pPr>
          </w:p>
        </w:tc>
      </w:tr>
      <w:tr w:rsidR="002729DF" w:rsidRPr="007B7D2F" w:rsidTr="00066F31">
        <w:trPr>
          <w:trHeight w:hRule="exact" w:val="840"/>
          <w:jc w:val="center"/>
        </w:trPr>
        <w:tc>
          <w:tcPr>
            <w:tcW w:w="8248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Default="00066F31" w:rsidP="00066F31">
            <w:pPr>
              <w:jc w:val="right"/>
              <w:rPr>
                <w:rtl/>
                <w:lang w:bidi="ar-IQ"/>
              </w:rPr>
            </w:pPr>
            <w:r>
              <w:rPr>
                <w:lang w:bidi="ar-IQ"/>
              </w:rPr>
              <w:t>Extrahepatic obstructive jaundice aetiology and presentation in surgical practice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E06014" w:rsidRDefault="00667392" w:rsidP="009822DF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E06014">
              <w:rPr>
                <w:rFonts w:ascii="Tahoma" w:hAnsi="Tahoma" w:cs="Tahoma"/>
                <w:lang w:val="en-US" w:bidi="ar-IQ"/>
              </w:rPr>
              <w:t>Thes</w:t>
            </w:r>
            <w:r w:rsidR="009822DF">
              <w:rPr>
                <w:rFonts w:ascii="Tahoma" w:hAnsi="Tahoma" w:cs="Tahoma"/>
                <w:lang w:val="en-US" w:bidi="ar-IQ"/>
              </w:rPr>
              <w:t>i</w:t>
            </w:r>
            <w:r w:rsidRPr="00E06014">
              <w:rPr>
                <w:rFonts w:ascii="Tahoma" w:hAnsi="Tahoma" w:cs="Tahoma"/>
                <w:lang w:val="en-US" w:bidi="ar-IQ"/>
              </w:rPr>
              <w:t xml:space="preserve">s </w:t>
            </w:r>
            <w:r w:rsidR="007B5BB1" w:rsidRPr="00E06014">
              <w:rPr>
                <w:rFonts w:ascii="Tahoma" w:hAnsi="Tahoma" w:cs="Tahoma"/>
                <w:lang w:val="en-US" w:bidi="ar-IQ"/>
              </w:rPr>
              <w:t xml:space="preserve"> Title </w:t>
            </w:r>
          </w:p>
        </w:tc>
      </w:tr>
      <w:tr w:rsidR="002729DF" w:rsidRPr="007B7D2F" w:rsidTr="00F674C3">
        <w:trPr>
          <w:trHeight w:hRule="exact" w:val="432"/>
          <w:jc w:val="center"/>
        </w:trPr>
        <w:tc>
          <w:tcPr>
            <w:tcW w:w="8248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6341D4" w:rsidRDefault="009A222D" w:rsidP="006341D4">
            <w:pPr>
              <w:tabs>
                <w:tab w:val="left" w:pos="4843"/>
              </w:tabs>
              <w:jc w:val="center"/>
              <w:rPr>
                <w:lang w:val="en-US" w:bidi="ar-IQ"/>
              </w:rPr>
            </w:pPr>
            <w:r>
              <w:rPr>
                <w:lang w:bidi="ar-IQ"/>
              </w:rPr>
              <w:t>1989</w:t>
            </w:r>
            <w:r w:rsidR="006341D4">
              <w:rPr>
                <w:lang w:bidi="ar-IQ"/>
              </w:rPr>
              <w:t xml:space="preserve"> CERTIFICATE OF </w:t>
            </w:r>
            <w:r w:rsidR="006341D4">
              <w:rPr>
                <w:lang w:val="en-US" w:bidi="ar-IQ"/>
              </w:rPr>
              <w:t xml:space="preserve"> ARAB BOARD OF SURGERY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E06014" w:rsidRDefault="0058381F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E06014">
              <w:rPr>
                <w:rFonts w:ascii="Tahoma" w:hAnsi="Tahoma" w:cs="Tahoma"/>
                <w:lang w:val="en-US" w:bidi="ar-IQ"/>
              </w:rPr>
              <w:t>Year</w:t>
            </w:r>
          </w:p>
        </w:tc>
      </w:tr>
      <w:tr w:rsidR="00422F07" w:rsidRPr="007B7D2F" w:rsidTr="00F674C3">
        <w:trPr>
          <w:trHeight w:val="8025"/>
          <w:jc w:val="center"/>
        </w:trPr>
        <w:tc>
          <w:tcPr>
            <w:tcW w:w="8248" w:type="dxa"/>
            <w:gridSpan w:val="4"/>
            <w:tcBorders>
              <w:top w:val="threeDEmboss" w:sz="18" w:space="0" w:color="auto"/>
              <w:left w:val="threeDEmboss" w:sz="18" w:space="0" w:color="auto"/>
              <w:right w:val="threeDEmboss" w:sz="18" w:space="0" w:color="auto"/>
            </w:tcBorders>
          </w:tcPr>
          <w:p w:rsidR="004B7DEC" w:rsidRDefault="003B19BD" w:rsidP="00066F31">
            <w:pPr>
              <w:jc w:val="right"/>
              <w:rPr>
                <w:lang w:bidi="ar-IQ"/>
              </w:rPr>
            </w:pPr>
            <w:r>
              <w:rPr>
                <w:lang w:bidi="ar-IQ"/>
              </w:rPr>
              <w:t xml:space="preserve">The evaluation of jaundiced patient can be a difficult clinical problem that may be encountered in surgical practice. In </w:t>
            </w:r>
            <w:r w:rsidR="00903B92">
              <w:rPr>
                <w:lang w:bidi="ar-IQ"/>
              </w:rPr>
              <w:t>particular,</w:t>
            </w:r>
            <w:r>
              <w:rPr>
                <w:lang w:bidi="ar-IQ"/>
              </w:rPr>
              <w:t xml:space="preserve"> distinction between intrahepatic and extrahepatic cause of jaundice has both </w:t>
            </w:r>
            <w:r w:rsidR="00903B92">
              <w:rPr>
                <w:lang w:bidi="ar-IQ"/>
              </w:rPr>
              <w:t xml:space="preserve">diagnostic and therapeutic implications. At </w:t>
            </w:r>
            <w:r w:rsidR="004B7DEC">
              <w:rPr>
                <w:lang w:bidi="ar-IQ"/>
              </w:rPr>
              <w:t>present,</w:t>
            </w:r>
            <w:r w:rsidR="00903B92">
              <w:rPr>
                <w:lang w:bidi="ar-IQ"/>
              </w:rPr>
              <w:t xml:space="preserve"> the most commonly sued procedures to differentiate extrahepatic</w:t>
            </w:r>
            <w:r w:rsidR="004B7DEC">
              <w:rPr>
                <w:lang w:bidi="ar-IQ"/>
              </w:rPr>
              <w:t xml:space="preserve"> biliary obstruction from other causes of jaundice are IVC, PTC, ERCP and new non-invasive completely safe procedure U/S.</w:t>
            </w:r>
          </w:p>
          <w:p w:rsidR="00602BA7" w:rsidRDefault="004B7DEC" w:rsidP="004B7DEC">
            <w:pPr>
              <w:jc w:val="right"/>
              <w:rPr>
                <w:lang w:bidi="ar-IQ"/>
              </w:rPr>
            </w:pPr>
            <w:r>
              <w:rPr>
                <w:lang w:bidi="ar-IQ"/>
              </w:rPr>
              <w:t xml:space="preserve">In this study 136 patients with clinical and laboratory data </w:t>
            </w:r>
            <w:r w:rsidR="002A73F5">
              <w:rPr>
                <w:lang w:bidi="ar-IQ"/>
              </w:rPr>
              <w:t>of extrahepatic</w:t>
            </w:r>
            <w:r>
              <w:rPr>
                <w:lang w:bidi="ar-IQ"/>
              </w:rPr>
              <w:t xml:space="preserve"> obstructive jaundice were retro-prospectively analysed with</w:t>
            </w:r>
            <w:r w:rsidR="00602BA7">
              <w:rPr>
                <w:lang w:bidi="ar-IQ"/>
              </w:rPr>
              <w:t xml:space="preserve"> various age groups and </w:t>
            </w:r>
            <w:r w:rsidR="002A73F5">
              <w:rPr>
                <w:lang w:bidi="ar-IQ"/>
              </w:rPr>
              <w:t>sex,</w:t>
            </w:r>
            <w:r w:rsidR="00602BA7">
              <w:rPr>
                <w:lang w:bidi="ar-IQ"/>
              </w:rPr>
              <w:t xml:space="preserve"> in the period of 4 </w:t>
            </w:r>
            <w:r w:rsidR="002A73F5">
              <w:rPr>
                <w:lang w:bidi="ar-IQ"/>
              </w:rPr>
              <w:t>years. Those</w:t>
            </w:r>
            <w:r w:rsidR="00602BA7">
              <w:rPr>
                <w:lang w:bidi="ar-IQ"/>
              </w:rPr>
              <w:t xml:space="preserve"> cases have different presentations as well as the aetiology of biliary </w:t>
            </w:r>
            <w:r w:rsidR="002A73F5">
              <w:rPr>
                <w:lang w:bidi="ar-IQ"/>
              </w:rPr>
              <w:t>obstruction is</w:t>
            </w:r>
            <w:r w:rsidR="00602BA7">
              <w:rPr>
                <w:lang w:bidi="ar-IQ"/>
              </w:rPr>
              <w:t xml:space="preserve"> different.</w:t>
            </w:r>
          </w:p>
          <w:p w:rsidR="002A73F5" w:rsidRDefault="00602BA7" w:rsidP="004B7DEC">
            <w:pPr>
              <w:jc w:val="right"/>
              <w:rPr>
                <w:lang w:bidi="ar-IQ"/>
              </w:rPr>
            </w:pPr>
            <w:r>
              <w:rPr>
                <w:lang w:bidi="ar-IQ"/>
              </w:rPr>
              <w:t>There were 78 male patients and 58 female patients</w:t>
            </w:r>
            <w:r w:rsidR="002A73F5">
              <w:rPr>
                <w:lang w:bidi="ar-IQ"/>
              </w:rPr>
              <w:t xml:space="preserve"> included in this study.</w:t>
            </w:r>
          </w:p>
          <w:p w:rsidR="002A73F5" w:rsidRDefault="002A73F5" w:rsidP="004B7DEC">
            <w:pPr>
              <w:jc w:val="right"/>
              <w:rPr>
                <w:lang w:bidi="ar-IQ"/>
              </w:rPr>
            </w:pPr>
            <w:r>
              <w:rPr>
                <w:lang w:bidi="ar-IQ"/>
              </w:rPr>
              <w:t>The patient’s age was ranged from 18-85 years, with the mean of 55.4 year.</w:t>
            </w:r>
          </w:p>
          <w:p w:rsidR="002A73F5" w:rsidRDefault="002A73F5" w:rsidP="00115416">
            <w:pPr>
              <w:jc w:val="right"/>
              <w:rPr>
                <w:lang w:bidi="ar-IQ"/>
              </w:rPr>
            </w:pPr>
            <w:r>
              <w:rPr>
                <w:lang w:bidi="ar-IQ"/>
              </w:rPr>
              <w:t xml:space="preserve">73 patients (53.7%) had malignant obstructive jaundice. The commonest site of malignancy found to be the carcinoma of the head of pancreas, in 45 patients (61.6%). This followed by ca. </w:t>
            </w:r>
            <w:r w:rsidR="00115416">
              <w:rPr>
                <w:lang w:bidi="ar-IQ"/>
              </w:rPr>
              <w:t>o</w:t>
            </w:r>
            <w:r>
              <w:rPr>
                <w:lang w:bidi="ar-IQ"/>
              </w:rPr>
              <w:t xml:space="preserve">f the common bile duct and porta hepatis </w:t>
            </w:r>
            <w:r w:rsidR="00AA43DC">
              <w:rPr>
                <w:lang w:bidi="ar-IQ"/>
              </w:rPr>
              <w:t>(primary</w:t>
            </w:r>
            <w:r>
              <w:rPr>
                <w:lang w:bidi="ar-IQ"/>
              </w:rPr>
              <w:t xml:space="preserve"> and secondary were included in this group)</w:t>
            </w:r>
            <w:r w:rsidR="00115416">
              <w:rPr>
                <w:lang w:bidi="ar-IQ"/>
              </w:rPr>
              <w:t xml:space="preserve"> in 17 patients (23.3%),then ca. of periampullary region (excluding head of pancreas) in 8 patients(11%) and finally gall bladder ca. in 3 patients constituted 4.1%.</w:t>
            </w:r>
          </w:p>
          <w:p w:rsidR="00115416" w:rsidRDefault="00115416" w:rsidP="00AA43DC">
            <w:pPr>
              <w:jc w:val="right"/>
              <w:rPr>
                <w:lang w:bidi="ar-IQ"/>
              </w:rPr>
            </w:pPr>
            <w:r>
              <w:rPr>
                <w:lang w:bidi="ar-IQ"/>
              </w:rPr>
              <w:t xml:space="preserve">44 </w:t>
            </w:r>
            <w:r w:rsidR="00AA43DC">
              <w:rPr>
                <w:lang w:bidi="ar-IQ"/>
              </w:rPr>
              <w:t>patients (32.4%)</w:t>
            </w:r>
            <w:r>
              <w:rPr>
                <w:lang w:bidi="ar-IQ"/>
              </w:rPr>
              <w:t xml:space="preserve"> had calculous obstructive</w:t>
            </w:r>
            <w:r w:rsidR="00AA43DC">
              <w:rPr>
                <w:lang w:bidi="ar-IQ"/>
              </w:rPr>
              <w:t xml:space="preserve"> jaundice and found to be equal sex distributions.</w:t>
            </w:r>
            <w:r>
              <w:rPr>
                <w:lang w:bidi="ar-IQ"/>
              </w:rPr>
              <w:t xml:space="preserve"> </w:t>
            </w:r>
            <w:r w:rsidR="00AA43DC">
              <w:rPr>
                <w:lang w:bidi="ar-IQ"/>
              </w:rPr>
              <w:t xml:space="preserve">8 patients (5.9%) had extrahepatic obstructive jaundice due to stricture of CBD, </w:t>
            </w:r>
            <w:r w:rsidR="00D808DC">
              <w:rPr>
                <w:lang w:bidi="ar-IQ"/>
              </w:rPr>
              <w:t>including one case was post-traumatic and 7 cases were post-cholecystectomies. Also one case was associated with stone formation.</w:t>
            </w:r>
          </w:p>
          <w:p w:rsidR="00D808DC" w:rsidRDefault="00D808DC" w:rsidP="00D808DC">
            <w:pPr>
              <w:jc w:val="right"/>
              <w:rPr>
                <w:lang w:bidi="ar-IQ"/>
              </w:rPr>
            </w:pPr>
            <w:r>
              <w:rPr>
                <w:lang w:bidi="ar-IQ"/>
              </w:rPr>
              <w:t xml:space="preserve">6 </w:t>
            </w:r>
            <w:r w:rsidR="00775916">
              <w:rPr>
                <w:lang w:bidi="ar-IQ"/>
              </w:rPr>
              <w:t>patients (</w:t>
            </w:r>
            <w:r>
              <w:rPr>
                <w:lang w:bidi="ar-IQ"/>
              </w:rPr>
              <w:t>4.4%) had hydatidic jaundice, 5 of them were due to intrabiliary rupture of hydatid cysts of the liver and one case was due to the compression of the CBD by extrahepatic hydatid cyst at retoduodenal site.</w:t>
            </w:r>
          </w:p>
          <w:p w:rsidR="00A46F97" w:rsidRDefault="00775916" w:rsidP="0003573D">
            <w:pPr>
              <w:jc w:val="right"/>
              <w:rPr>
                <w:lang w:bidi="ar-IQ"/>
              </w:rPr>
            </w:pPr>
            <w:r>
              <w:rPr>
                <w:lang w:bidi="ar-IQ"/>
              </w:rPr>
              <w:t>2cases (</w:t>
            </w:r>
            <w:r w:rsidR="00DC38E8">
              <w:rPr>
                <w:lang w:bidi="ar-IQ"/>
              </w:rPr>
              <w:t>1.5%</w:t>
            </w:r>
            <w:r>
              <w:rPr>
                <w:lang w:bidi="ar-IQ"/>
              </w:rPr>
              <w:t>) were</w:t>
            </w:r>
            <w:r w:rsidR="00DC38E8">
              <w:rPr>
                <w:lang w:bidi="ar-IQ"/>
              </w:rPr>
              <w:t xml:space="preserve"> due to choledochal cyst.</w:t>
            </w:r>
            <w:r w:rsidR="0003573D">
              <w:rPr>
                <w:lang w:bidi="ar-IQ"/>
              </w:rPr>
              <w:t xml:space="preserve"> One case was associated with calculous formation.</w:t>
            </w:r>
            <w:r w:rsidR="00A46F97">
              <w:rPr>
                <w:lang w:bidi="ar-IQ"/>
              </w:rPr>
              <w:t xml:space="preserve"> .</w:t>
            </w:r>
          </w:p>
          <w:p w:rsidR="0003573D" w:rsidRDefault="00A46F97" w:rsidP="0003573D">
            <w:pPr>
              <w:jc w:val="right"/>
              <w:rPr>
                <w:lang w:bidi="ar-IQ"/>
              </w:rPr>
            </w:pPr>
            <w:r>
              <w:rPr>
                <w:lang w:bidi="ar-IQ"/>
              </w:rPr>
              <w:t xml:space="preserve"> One case (0.7%) was due to pyogenic liver abscess.</w:t>
            </w:r>
          </w:p>
          <w:p w:rsidR="00422F07" w:rsidRDefault="006D59E1" w:rsidP="0091405C">
            <w:pPr>
              <w:tabs>
                <w:tab w:val="center" w:pos="4016"/>
                <w:tab w:val="right" w:pos="8032"/>
              </w:tabs>
              <w:rPr>
                <w:rtl/>
                <w:lang w:bidi="ar-IQ"/>
              </w:rPr>
            </w:pPr>
            <w:r>
              <w:rPr>
                <w:lang w:bidi="ar-IQ"/>
              </w:rPr>
              <w:tab/>
            </w:r>
            <w:r>
              <w:rPr>
                <w:lang w:bidi="ar-IQ"/>
              </w:rPr>
              <w:tab/>
            </w:r>
            <w:r w:rsidR="0003573D">
              <w:rPr>
                <w:lang w:bidi="ar-IQ"/>
              </w:rPr>
              <w:t>2 cases (1.5%) were no cause found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46A3B" w:rsidRPr="00E06014" w:rsidRDefault="00A46A3B" w:rsidP="00A46A3B">
            <w:pPr>
              <w:spacing w:line="360" w:lineRule="auto"/>
              <w:rPr>
                <w:rFonts w:ascii="Tahoma" w:hAnsi="Tahoma" w:cs="Tahoma"/>
                <w:rtl/>
                <w:lang w:val="en-US" w:bidi="ar-IQ"/>
              </w:rPr>
            </w:pPr>
          </w:p>
          <w:p w:rsidR="00BC4E9A" w:rsidRPr="00E06014" w:rsidRDefault="00BC4E9A" w:rsidP="00422F07">
            <w:pPr>
              <w:spacing w:line="360" w:lineRule="auto"/>
              <w:jc w:val="right"/>
              <w:rPr>
                <w:rFonts w:ascii="Tahoma" w:hAnsi="Tahoma" w:cs="Tahoma"/>
                <w:lang w:val="en-US" w:bidi="ar-IQ"/>
              </w:rPr>
            </w:pPr>
          </w:p>
          <w:p w:rsidR="00422F07" w:rsidRPr="00E06014" w:rsidRDefault="007B5BB1" w:rsidP="00422F07">
            <w:pPr>
              <w:spacing w:line="360" w:lineRule="auto"/>
              <w:jc w:val="right"/>
              <w:rPr>
                <w:rFonts w:ascii="Tahoma" w:hAnsi="Tahoma" w:cs="Tahoma"/>
                <w:lang w:val="en-US" w:bidi="ar-IQ"/>
              </w:rPr>
            </w:pPr>
            <w:r w:rsidRPr="00E06014">
              <w:rPr>
                <w:rFonts w:ascii="Tahoma" w:hAnsi="Tahoma" w:cs="Tahoma"/>
                <w:lang w:val="en-US" w:bidi="ar-IQ"/>
              </w:rPr>
              <w:t xml:space="preserve"> </w:t>
            </w:r>
            <w:r w:rsidR="00BC4E9A" w:rsidRPr="00E06014">
              <w:rPr>
                <w:rFonts w:ascii="Tahoma" w:hAnsi="Tahoma" w:cs="Tahoma"/>
                <w:lang w:val="en-US" w:bidi="ar-IQ"/>
              </w:rPr>
              <w:t xml:space="preserve">Abstract </w:t>
            </w:r>
            <w:r w:rsidRPr="00E06014">
              <w:rPr>
                <w:rFonts w:ascii="Tahoma" w:hAnsi="Tahoma" w:cs="Tahoma" w:hint="cs"/>
                <w:rtl/>
                <w:lang w:val="en-US" w:bidi="ar-IQ"/>
              </w:rPr>
              <w:t xml:space="preserve">  </w:t>
            </w:r>
          </w:p>
        </w:tc>
      </w:tr>
    </w:tbl>
    <w:p w:rsidR="00834405" w:rsidRDefault="00834405" w:rsidP="00893F36">
      <w:pPr>
        <w:rPr>
          <w:rFonts w:hint="cs"/>
          <w:lang w:bidi="ar-IQ"/>
        </w:rPr>
      </w:pPr>
    </w:p>
    <w:sectPr w:rsidR="00834405" w:rsidSect="00893F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134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9FE" w:rsidRDefault="000059FE" w:rsidP="002729DF">
      <w:r>
        <w:separator/>
      </w:r>
    </w:p>
  </w:endnote>
  <w:endnote w:type="continuationSeparator" w:id="0">
    <w:p w:rsidR="000059FE" w:rsidRDefault="000059FE" w:rsidP="0027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cademy Engraved LE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140" w:rsidRDefault="000A014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140" w:rsidRDefault="000A014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140" w:rsidRDefault="000A01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9FE" w:rsidRDefault="000059FE" w:rsidP="002729DF">
      <w:r>
        <w:separator/>
      </w:r>
    </w:p>
  </w:footnote>
  <w:footnote w:type="continuationSeparator" w:id="0">
    <w:p w:rsidR="000059FE" w:rsidRDefault="000059FE" w:rsidP="00272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140" w:rsidRDefault="000A01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9DF" w:rsidRPr="000A0140" w:rsidRDefault="002729DF" w:rsidP="000A014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140" w:rsidRDefault="000A014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/>
  <w:rsids>
    <w:rsidRoot w:val="007B7D2F"/>
    <w:rsid w:val="00002AAF"/>
    <w:rsid w:val="000059FE"/>
    <w:rsid w:val="0003573D"/>
    <w:rsid w:val="00066F31"/>
    <w:rsid w:val="000A0140"/>
    <w:rsid w:val="000F02DD"/>
    <w:rsid w:val="001147B3"/>
    <w:rsid w:val="00115416"/>
    <w:rsid w:val="001329B2"/>
    <w:rsid w:val="001351DC"/>
    <w:rsid w:val="001927D0"/>
    <w:rsid w:val="001A66B8"/>
    <w:rsid w:val="001D35A6"/>
    <w:rsid w:val="00220D54"/>
    <w:rsid w:val="00261579"/>
    <w:rsid w:val="002729DF"/>
    <w:rsid w:val="002A343C"/>
    <w:rsid w:val="002A73F5"/>
    <w:rsid w:val="003266CE"/>
    <w:rsid w:val="00326EB1"/>
    <w:rsid w:val="0034265E"/>
    <w:rsid w:val="003B19BD"/>
    <w:rsid w:val="003D1BFF"/>
    <w:rsid w:val="004056B8"/>
    <w:rsid w:val="00422F07"/>
    <w:rsid w:val="00476DD4"/>
    <w:rsid w:val="004B03DE"/>
    <w:rsid w:val="004B507B"/>
    <w:rsid w:val="004B7DEC"/>
    <w:rsid w:val="004C4DD3"/>
    <w:rsid w:val="004E248F"/>
    <w:rsid w:val="00530676"/>
    <w:rsid w:val="00540FBC"/>
    <w:rsid w:val="005540B1"/>
    <w:rsid w:val="0058381F"/>
    <w:rsid w:val="005A1270"/>
    <w:rsid w:val="005C6D29"/>
    <w:rsid w:val="00602750"/>
    <w:rsid w:val="00602BA7"/>
    <w:rsid w:val="006134D4"/>
    <w:rsid w:val="006341D4"/>
    <w:rsid w:val="0063518E"/>
    <w:rsid w:val="00667392"/>
    <w:rsid w:val="00681C2C"/>
    <w:rsid w:val="006D59E1"/>
    <w:rsid w:val="00735498"/>
    <w:rsid w:val="00760FB6"/>
    <w:rsid w:val="00775916"/>
    <w:rsid w:val="00790356"/>
    <w:rsid w:val="007A0A68"/>
    <w:rsid w:val="007A4490"/>
    <w:rsid w:val="007B3ADA"/>
    <w:rsid w:val="007B5BB1"/>
    <w:rsid w:val="007B7D2F"/>
    <w:rsid w:val="0082234F"/>
    <w:rsid w:val="00834405"/>
    <w:rsid w:val="00860806"/>
    <w:rsid w:val="00881ADD"/>
    <w:rsid w:val="00893F36"/>
    <w:rsid w:val="008C05B4"/>
    <w:rsid w:val="008D1247"/>
    <w:rsid w:val="00903B92"/>
    <w:rsid w:val="0091286A"/>
    <w:rsid w:val="0091405C"/>
    <w:rsid w:val="00925124"/>
    <w:rsid w:val="00941471"/>
    <w:rsid w:val="009451C4"/>
    <w:rsid w:val="00965464"/>
    <w:rsid w:val="00976DE7"/>
    <w:rsid w:val="009822DF"/>
    <w:rsid w:val="009A222D"/>
    <w:rsid w:val="009A2F5D"/>
    <w:rsid w:val="00A46A3B"/>
    <w:rsid w:val="00A46F97"/>
    <w:rsid w:val="00A910E0"/>
    <w:rsid w:val="00AA43DC"/>
    <w:rsid w:val="00AC791C"/>
    <w:rsid w:val="00AD275D"/>
    <w:rsid w:val="00AF2935"/>
    <w:rsid w:val="00B15BAA"/>
    <w:rsid w:val="00B746B9"/>
    <w:rsid w:val="00B973F3"/>
    <w:rsid w:val="00BB19AB"/>
    <w:rsid w:val="00BB324D"/>
    <w:rsid w:val="00BC4E9A"/>
    <w:rsid w:val="00BF7696"/>
    <w:rsid w:val="00C01CE9"/>
    <w:rsid w:val="00C54102"/>
    <w:rsid w:val="00C63B45"/>
    <w:rsid w:val="00C8243A"/>
    <w:rsid w:val="00CA0BAB"/>
    <w:rsid w:val="00CA14C3"/>
    <w:rsid w:val="00CB7D4F"/>
    <w:rsid w:val="00D21979"/>
    <w:rsid w:val="00D7176F"/>
    <w:rsid w:val="00D808DC"/>
    <w:rsid w:val="00D81EAA"/>
    <w:rsid w:val="00DC38E8"/>
    <w:rsid w:val="00DD28B0"/>
    <w:rsid w:val="00DD47F0"/>
    <w:rsid w:val="00DD733B"/>
    <w:rsid w:val="00E00811"/>
    <w:rsid w:val="00E06014"/>
    <w:rsid w:val="00E63900"/>
    <w:rsid w:val="00E66D4C"/>
    <w:rsid w:val="00E70239"/>
    <w:rsid w:val="00E70255"/>
    <w:rsid w:val="00EA5234"/>
    <w:rsid w:val="00F6367D"/>
    <w:rsid w:val="00F674C3"/>
    <w:rsid w:val="00F857B8"/>
    <w:rsid w:val="00FE3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498"/>
    <w:pPr>
      <w:bidi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5498"/>
    <w:pPr>
      <w:bidi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B7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2A343C"/>
  </w:style>
  <w:style w:type="character" w:customStyle="1" w:styleId="shorttext">
    <w:name w:val="short_text"/>
    <w:basedOn w:val="DefaultParagraphFont"/>
    <w:rsid w:val="002A343C"/>
  </w:style>
  <w:style w:type="paragraph" w:styleId="Header">
    <w:name w:val="header"/>
    <w:basedOn w:val="Normal"/>
    <w:link w:val="Head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29DF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29DF"/>
    <w:rPr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B8398-2EC9-446F-8C49-4063E4ABC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Ameno</dc:creator>
  <cp:lastModifiedBy>ATS</cp:lastModifiedBy>
  <cp:revision>36</cp:revision>
  <cp:lastPrinted>2011-11-23T07:31:00Z</cp:lastPrinted>
  <dcterms:created xsi:type="dcterms:W3CDTF">2011-11-15T18:37:00Z</dcterms:created>
  <dcterms:modified xsi:type="dcterms:W3CDTF">2011-12-18T06:44:00Z</dcterms:modified>
</cp:coreProperties>
</file>